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33" w:rsidRPr="003713B2" w:rsidRDefault="000D1C9D" w:rsidP="003713B2">
      <w:pPr>
        <w:jc w:val="center"/>
      </w:pPr>
      <w:bookmarkStart w:id="0" w:name="_GoBack"/>
      <w:bookmarkEnd w:id="0"/>
      <w:r>
        <w:rPr>
          <w:b/>
        </w:rPr>
        <w:t>Department of Children &amp; Families</w:t>
      </w:r>
    </w:p>
    <w:p w:rsidR="003B1A37" w:rsidRDefault="003713B2" w:rsidP="003B1A37">
      <w:pPr>
        <w:spacing w:after="0"/>
        <w:jc w:val="center"/>
      </w:pPr>
      <w:r>
        <w:t xml:space="preserve">Using the template below, </w:t>
      </w:r>
      <w:r w:rsidR="003B1A37" w:rsidRPr="009258F2">
        <w:rPr>
          <w:u w:val="single"/>
        </w:rPr>
        <w:t>click on the highlighted boxes</w:t>
      </w:r>
      <w:r w:rsidR="003B1A37">
        <w:t xml:space="preserve"> to </w:t>
      </w:r>
      <w:r>
        <w:t>identify current communications, operations, and legislative initiatives the agency is providing</w:t>
      </w:r>
      <w:r w:rsidR="003B1A37">
        <w:t xml:space="preserve">, </w:t>
      </w:r>
      <w:r>
        <w:t>or undertaking</w:t>
      </w:r>
      <w:r w:rsidR="003B1A37">
        <w:t>,</w:t>
      </w:r>
      <w:r>
        <w:t xml:space="preserve"> that address the three Children and Youth Cabinet priorities. Use one-two sentences to describe each </w:t>
      </w:r>
      <w:r w:rsidR="007B370E">
        <w:t>goal/description</w:t>
      </w:r>
      <w:r w:rsidR="00A4573B">
        <w:t xml:space="preserve">.  </w:t>
      </w:r>
    </w:p>
    <w:p w:rsidR="003713B2" w:rsidRDefault="00A4573B" w:rsidP="003713B2">
      <w:pPr>
        <w:jc w:val="center"/>
      </w:pPr>
      <w:r>
        <w:t>Repeat headings for each additional service or initiative</w:t>
      </w:r>
      <w:r w:rsidR="007B370E">
        <w:t xml:space="preserve"> (Title)</w:t>
      </w:r>
      <w:r w:rsidR="009258F2">
        <w:t>.</w:t>
      </w:r>
    </w:p>
    <w:tbl>
      <w:tblPr>
        <w:tblStyle w:val="TableGrid"/>
        <w:tblW w:w="0" w:type="auto"/>
        <w:tblLook w:val="04A0" w:firstRow="1" w:lastRow="0" w:firstColumn="1" w:lastColumn="0" w:noHBand="0" w:noVBand="1"/>
      </w:tblPr>
      <w:tblGrid>
        <w:gridCol w:w="3597"/>
        <w:gridCol w:w="3597"/>
        <w:gridCol w:w="3598"/>
        <w:gridCol w:w="3598"/>
      </w:tblGrid>
      <w:tr w:rsidR="00A0300F" w:rsidTr="00126CFD">
        <w:trPr>
          <w:trHeight w:val="764"/>
        </w:trPr>
        <w:tc>
          <w:tcPr>
            <w:tcW w:w="3597" w:type="dxa"/>
            <w:shd w:val="clear" w:color="auto" w:fill="808080" w:themeFill="background1" w:themeFillShade="80"/>
            <w:vAlign w:val="center"/>
          </w:tcPr>
          <w:p w:rsidR="00A0300F" w:rsidRPr="00126CFD" w:rsidRDefault="009258F2" w:rsidP="00A0300F">
            <w:pPr>
              <w:jc w:val="center"/>
              <w:rPr>
                <w:b/>
                <w:color w:val="FFFFFF" w:themeColor="background1"/>
              </w:rPr>
            </w:pPr>
            <w:r>
              <w:rPr>
                <w:noProof/>
              </w:rPr>
              <mc:AlternateContent>
                <mc:Choice Requires="wps">
                  <w:drawing>
                    <wp:anchor distT="0" distB="0" distL="114300" distR="114300" simplePos="0" relativeHeight="251659264" behindDoc="0" locked="0" layoutInCell="1" allowOverlap="1" wp14:anchorId="0DD3ED79" wp14:editId="1649E2AC">
                      <wp:simplePos x="0" y="0"/>
                      <wp:positionH relativeFrom="column">
                        <wp:posOffset>1658620</wp:posOffset>
                      </wp:positionH>
                      <wp:positionV relativeFrom="paragraph">
                        <wp:posOffset>100330</wp:posOffset>
                      </wp:positionV>
                      <wp:extent cx="2286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BE600" id="_x0000_t32" coordsize="21600,21600" o:spt="32" o:oned="t" path="m,l21600,21600e" filled="f">
                      <v:path arrowok="t" fillok="f" o:connecttype="none"/>
                      <o:lock v:ext="edit" shapetype="t"/>
                    </v:shapetype>
                    <v:shape id="Straight Arrow Connector 9" o:spid="_x0000_s1026" type="#_x0000_t32" style="position:absolute;margin-left:130.6pt;margin-top:7.9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" strokecolor="#f2f2f2 [3052]" strokeweight="2.25pt">
                      <v:stroke endarrow="block" joinstyle="miter"/>
                    </v:shape>
                  </w:pict>
                </mc:Fallback>
              </mc:AlternateContent>
            </w:r>
            <w:r w:rsidR="00A0300F" w:rsidRPr="00126CFD">
              <w:rPr>
                <w:b/>
                <w:color w:val="FFFFFF" w:themeColor="background1"/>
              </w:rPr>
              <w:t>Cabinet Priorities</w:t>
            </w:r>
          </w:p>
          <w:p w:rsidR="00A0300F" w:rsidRDefault="009258F2" w:rsidP="00A0300F">
            <w:pPr>
              <w:jc w:val="center"/>
              <w:rPr>
                <w:b/>
              </w:rPr>
            </w:pPr>
            <w:r>
              <w:rPr>
                <w:noProof/>
              </w:rPr>
              <mc:AlternateContent>
                <mc:Choice Requires="wps">
                  <w:drawing>
                    <wp:anchor distT="0" distB="0" distL="114300" distR="114300" simplePos="0" relativeHeight="251660288" behindDoc="0" locked="0" layoutInCell="1" allowOverlap="1" wp14:anchorId="3B956BEF" wp14:editId="6E5A8B62">
                      <wp:simplePos x="0" y="0"/>
                      <wp:positionH relativeFrom="column">
                        <wp:posOffset>1069340</wp:posOffset>
                      </wp:positionH>
                      <wp:positionV relativeFrom="paragraph">
                        <wp:posOffset>221615</wp:posOffset>
                      </wp:positionV>
                      <wp:extent cx="0" cy="228600"/>
                      <wp:effectExtent l="95250" t="0" r="57150" b="381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8E213" id="Straight Arrow Connector 11" o:spid="_x0000_s1026" type="#_x0000_t32" style="position:absolute;margin-left:84.2pt;margin-top:17.4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" strokecolor="#f2f2f2 [3052]" strokeweight="2.25pt">
                      <v:stroke endarrow="block" joinstyle="miter"/>
                    </v:shape>
                  </w:pict>
                </mc:Fallback>
              </mc:AlternateContent>
            </w:r>
            <w:r w:rsidR="00A0300F" w:rsidRPr="00126CFD">
              <w:rPr>
                <w:b/>
                <w:color w:val="FFFFFF" w:themeColor="background1"/>
              </w:rPr>
              <w:t xml:space="preserve">&amp; </w:t>
            </w:r>
            <w:r>
              <w:rPr>
                <w:b/>
                <w:color w:val="FFFFFF" w:themeColor="background1"/>
              </w:rPr>
              <w:t xml:space="preserve">Agency </w:t>
            </w:r>
            <w:r w:rsidR="00A0300F" w:rsidRPr="00126CFD">
              <w:rPr>
                <w:b/>
                <w:color w:val="FFFFFF" w:themeColor="background1"/>
              </w:rPr>
              <w:t>Alignment</w:t>
            </w:r>
          </w:p>
        </w:tc>
        <w:tc>
          <w:tcPr>
            <w:tcW w:w="3597" w:type="dxa"/>
            <w:shd w:val="clear" w:color="auto" w:fill="F2F2F2" w:themeFill="background1" w:themeFillShade="F2"/>
            <w:vAlign w:val="center"/>
          </w:tcPr>
          <w:p w:rsidR="00A0300F" w:rsidRDefault="00A0300F" w:rsidP="00A0300F">
            <w:pPr>
              <w:jc w:val="center"/>
              <w:rPr>
                <w:b/>
              </w:rPr>
            </w:pPr>
            <w:r>
              <w:rPr>
                <w:b/>
              </w:rPr>
              <w:t>POVERTY</w:t>
            </w:r>
          </w:p>
          <w:p w:rsidR="00A0300F" w:rsidRPr="00A0300F" w:rsidRDefault="00A0300F" w:rsidP="00A0300F">
            <w:pPr>
              <w:jc w:val="center"/>
            </w:pPr>
            <w:r>
              <w:t>Addressing children living in poverty</w:t>
            </w:r>
          </w:p>
        </w:tc>
        <w:tc>
          <w:tcPr>
            <w:tcW w:w="3598" w:type="dxa"/>
            <w:vAlign w:val="center"/>
          </w:tcPr>
          <w:p w:rsidR="00A0300F" w:rsidRDefault="00A0300F" w:rsidP="00A0300F">
            <w:pPr>
              <w:jc w:val="center"/>
              <w:rPr>
                <w:b/>
              </w:rPr>
            </w:pPr>
            <w:r>
              <w:rPr>
                <w:b/>
              </w:rPr>
              <w:t>EARLY CHILDHOOD</w:t>
            </w:r>
          </w:p>
          <w:p w:rsidR="00A0300F" w:rsidRPr="00A0300F" w:rsidRDefault="00A0300F" w:rsidP="00A0300F">
            <w:pPr>
              <w:jc w:val="center"/>
            </w:pPr>
            <w:r>
              <w:t>Addressing prenatal, infants, toddlers and school readiness</w:t>
            </w:r>
          </w:p>
        </w:tc>
        <w:tc>
          <w:tcPr>
            <w:tcW w:w="3598" w:type="dxa"/>
            <w:shd w:val="clear" w:color="auto" w:fill="F2F2F2" w:themeFill="background1" w:themeFillShade="F2"/>
            <w:vAlign w:val="center"/>
          </w:tcPr>
          <w:p w:rsidR="00A0300F" w:rsidRDefault="00A0300F" w:rsidP="00A0300F">
            <w:pPr>
              <w:jc w:val="center"/>
              <w:rPr>
                <w:b/>
              </w:rPr>
            </w:pPr>
            <w:r>
              <w:rPr>
                <w:b/>
              </w:rPr>
              <w:t xml:space="preserve">SUBSTANCE ABUSE </w:t>
            </w:r>
          </w:p>
          <w:p w:rsidR="00A0300F" w:rsidRDefault="00A0300F" w:rsidP="00A0300F">
            <w:pPr>
              <w:jc w:val="center"/>
              <w:rPr>
                <w:b/>
              </w:rPr>
            </w:pPr>
            <w:r>
              <w:rPr>
                <w:b/>
              </w:rPr>
              <w:t>&amp; MENTAL HEALTH</w:t>
            </w:r>
          </w:p>
          <w:p w:rsidR="00A0300F" w:rsidRPr="00A0300F" w:rsidRDefault="00A0300F" w:rsidP="00A0300F">
            <w:pPr>
              <w:jc w:val="center"/>
            </w:pPr>
            <w:r>
              <w:t>Addressing children and youth with substance abuse or mental health needs</w:t>
            </w:r>
          </w:p>
        </w:tc>
      </w:tr>
      <w:tr w:rsidR="00133594" w:rsidTr="00133594">
        <w:trPr>
          <w:trHeight w:val="1394"/>
        </w:trPr>
        <w:tc>
          <w:tcPr>
            <w:tcW w:w="3597" w:type="dxa"/>
            <w:vAlign w:val="center"/>
          </w:tcPr>
          <w:p w:rsidR="00133594" w:rsidRDefault="00133594" w:rsidP="00133594">
            <w:pPr>
              <w:jc w:val="center"/>
              <w:rPr>
                <w:b/>
              </w:rPr>
            </w:pPr>
            <w:r w:rsidRPr="00FA7E6F">
              <w:rPr>
                <w:b/>
              </w:rPr>
              <w:t>Communications</w:t>
            </w:r>
            <w:r>
              <w:rPr>
                <w:b/>
              </w:rPr>
              <w:t xml:space="preserve"> &amp; </w:t>
            </w:r>
            <w:r w:rsidRPr="00FA7E6F">
              <w:rPr>
                <w:b/>
              </w:rPr>
              <w:t>Campaigns</w:t>
            </w:r>
          </w:p>
        </w:tc>
        <w:tc>
          <w:tcPr>
            <w:tcW w:w="3597" w:type="dxa"/>
            <w:shd w:val="clear" w:color="auto" w:fill="F2F2F2" w:themeFill="background1" w:themeFillShade="F2"/>
          </w:tcPr>
          <w:p w:rsidR="00575BED" w:rsidRDefault="00575BED" w:rsidP="00133594">
            <w:pPr>
              <w:rPr>
                <w:b/>
                <w:i/>
                <w:sz w:val="20"/>
              </w:rPr>
            </w:pPr>
          </w:p>
          <w:p w:rsidR="00133594" w:rsidRDefault="00133594" w:rsidP="00133594">
            <w:pPr>
              <w:rPr>
                <w:b/>
                <w:sz w:val="20"/>
              </w:rPr>
            </w:pPr>
            <w:r w:rsidRPr="00133594">
              <w:rPr>
                <w:b/>
                <w:i/>
                <w:sz w:val="20"/>
              </w:rPr>
              <w:t>Title:</w:t>
            </w:r>
            <w:r>
              <w:rPr>
                <w:i/>
                <w:sz w:val="20"/>
              </w:rPr>
              <w:t xml:space="preserve"> </w:t>
            </w:r>
            <w:r w:rsidR="00937E47">
              <w:rPr>
                <w:b/>
                <w:sz w:val="20"/>
              </w:rPr>
              <w:t>SNAP Education</w:t>
            </w:r>
            <w:r w:rsidR="00F62C3F">
              <w:rPr>
                <w:b/>
                <w:sz w:val="20"/>
              </w:rPr>
              <w:t xml:space="preserve"> (SNAP-Ed)</w:t>
            </w:r>
          </w:p>
          <w:p w:rsidR="009F1961" w:rsidRPr="003B1A37" w:rsidRDefault="009F1961" w:rsidP="00133594">
            <w:pPr>
              <w:rPr>
                <w:sz w:val="20"/>
              </w:rPr>
            </w:pPr>
          </w:p>
          <w:p w:rsidR="00133594" w:rsidRDefault="00133594" w:rsidP="00133594">
            <w:pPr>
              <w:rPr>
                <w:sz w:val="20"/>
              </w:rPr>
            </w:pPr>
            <w:r w:rsidRPr="00133594">
              <w:rPr>
                <w:b/>
                <w:i/>
                <w:sz w:val="20"/>
              </w:rPr>
              <w:t>Goal/Description:</w:t>
            </w:r>
            <w:r>
              <w:rPr>
                <w:sz w:val="20"/>
              </w:rPr>
              <w:t xml:space="preserve"> </w:t>
            </w:r>
            <w:r w:rsidR="00F62C3F" w:rsidRPr="00F62C3F">
              <w:rPr>
                <w:rFonts w:cstheme="minorHAnsi"/>
                <w:sz w:val="20"/>
                <w:szCs w:val="20"/>
              </w:rPr>
              <w:t>SNAP-Ed uses instruction and activities to educate participants to make healthy, cost effective food choices within a limited budget to improve the quality of diets, change behavior, and reduce chronic disease and obesity so that Florida residents become healthier and, as a return, healthcare costs are reduced</w:t>
            </w:r>
            <w:r w:rsidR="00F62C3F" w:rsidRPr="00F62C3F">
              <w:rPr>
                <w:rFonts w:cstheme="minorHAnsi"/>
                <w:sz w:val="20"/>
              </w:rPr>
              <w:t>.</w:t>
            </w:r>
            <w:r w:rsidR="006450D7">
              <w:rPr>
                <w:rFonts w:cstheme="minorHAnsi"/>
                <w:sz w:val="20"/>
              </w:rPr>
              <w:t xml:space="preserve">  Instruction is provided in some schools statewide as well as demonstrations and cooking classes. </w:t>
            </w:r>
            <w:r w:rsidR="00F62C3F" w:rsidRPr="00F62C3F">
              <w:rPr>
                <w:rFonts w:cstheme="minorHAnsi"/>
                <w:sz w:val="20"/>
              </w:rPr>
              <w:t xml:space="preserve"> SNAP-Ed is currently</w:t>
            </w:r>
            <w:r w:rsidR="00F62C3F">
              <w:rPr>
                <w:sz w:val="20"/>
              </w:rPr>
              <w:t xml:space="preserve"> provided in 37 counties.</w:t>
            </w:r>
          </w:p>
          <w:p w:rsidR="009F1961" w:rsidRPr="003B1A37" w:rsidRDefault="009F1961" w:rsidP="00133594">
            <w:pPr>
              <w:rPr>
                <w:sz w:val="20"/>
              </w:rPr>
            </w:pPr>
          </w:p>
          <w:p w:rsidR="00133594" w:rsidRDefault="00133594" w:rsidP="00133594">
            <w:pPr>
              <w:rPr>
                <w:sz w:val="20"/>
              </w:rPr>
            </w:pPr>
            <w:r w:rsidRPr="00133594">
              <w:rPr>
                <w:b/>
                <w:i/>
                <w:sz w:val="20"/>
              </w:rPr>
              <w:t>Agencies Involved:</w:t>
            </w:r>
            <w:r>
              <w:rPr>
                <w:sz w:val="20"/>
              </w:rPr>
              <w:t xml:space="preserve"> </w:t>
            </w:r>
            <w:r w:rsidR="00F62C3F">
              <w:rPr>
                <w:sz w:val="20"/>
              </w:rPr>
              <w:t>Department of Children &amp; Families</w:t>
            </w:r>
          </w:p>
          <w:p w:rsidR="00742DB3" w:rsidRDefault="00742DB3" w:rsidP="00133594">
            <w:pPr>
              <w:rPr>
                <w:sz w:val="20"/>
              </w:rPr>
            </w:pPr>
            <w:r>
              <w:rPr>
                <w:sz w:val="20"/>
              </w:rPr>
              <w:t>University of Florida</w:t>
            </w:r>
          </w:p>
          <w:p w:rsidR="009F1961" w:rsidRDefault="009F1961" w:rsidP="00133594">
            <w:pPr>
              <w:rPr>
                <w:sz w:val="20"/>
              </w:rPr>
            </w:pPr>
          </w:p>
          <w:p w:rsidR="009F1961" w:rsidRDefault="009F1961" w:rsidP="009F1961">
            <w:pPr>
              <w:rPr>
                <w:b/>
                <w:sz w:val="20"/>
              </w:rPr>
            </w:pPr>
            <w:r w:rsidRPr="00133594">
              <w:rPr>
                <w:b/>
                <w:i/>
                <w:sz w:val="20"/>
              </w:rPr>
              <w:t>Title:</w:t>
            </w:r>
            <w:r>
              <w:rPr>
                <w:i/>
                <w:sz w:val="20"/>
              </w:rPr>
              <w:t xml:space="preserve"> </w:t>
            </w:r>
            <w:r>
              <w:rPr>
                <w:b/>
                <w:sz w:val="20"/>
              </w:rPr>
              <w:t>SNAP Outreach</w:t>
            </w:r>
          </w:p>
          <w:p w:rsidR="009F1961" w:rsidRPr="003B1A37" w:rsidRDefault="009F1961" w:rsidP="009F1961">
            <w:pPr>
              <w:rPr>
                <w:sz w:val="20"/>
              </w:rPr>
            </w:pPr>
          </w:p>
          <w:p w:rsidR="009F1961" w:rsidRDefault="009F1961" w:rsidP="00133594">
            <w:pPr>
              <w:rPr>
                <w:rFonts w:cstheme="minorHAnsi"/>
                <w:sz w:val="20"/>
                <w:szCs w:val="20"/>
              </w:rPr>
            </w:pPr>
            <w:r w:rsidRPr="00133594">
              <w:rPr>
                <w:b/>
                <w:i/>
                <w:sz w:val="20"/>
              </w:rPr>
              <w:t>Goal/Description:</w:t>
            </w:r>
            <w:r>
              <w:rPr>
                <w:sz w:val="20"/>
              </w:rPr>
              <w:t xml:space="preserve"> </w:t>
            </w:r>
            <w:r w:rsidR="001E102E">
              <w:rPr>
                <w:rFonts w:cstheme="minorHAnsi"/>
                <w:sz w:val="20"/>
                <w:szCs w:val="20"/>
              </w:rPr>
              <w:t>DCF works with local agencies to reach out to eligible low-income</w:t>
            </w:r>
            <w:r w:rsidR="005B0170">
              <w:rPr>
                <w:rFonts w:cstheme="minorHAnsi"/>
                <w:sz w:val="20"/>
                <w:szCs w:val="20"/>
              </w:rPr>
              <w:t xml:space="preserve"> individuals who are not currently </w:t>
            </w:r>
            <w:r w:rsidR="005B0170">
              <w:rPr>
                <w:rFonts w:cstheme="minorHAnsi"/>
                <w:sz w:val="20"/>
                <w:szCs w:val="20"/>
              </w:rPr>
              <w:lastRenderedPageBreak/>
              <w:t>participating in SNAP and share information about the nutrition benefits</w:t>
            </w:r>
            <w:r w:rsidR="001E50C0">
              <w:rPr>
                <w:rFonts w:cstheme="minorHAnsi"/>
                <w:sz w:val="20"/>
                <w:szCs w:val="20"/>
              </w:rPr>
              <w:t xml:space="preserve"> of the program</w:t>
            </w:r>
            <w:r w:rsidR="005B0170">
              <w:rPr>
                <w:rFonts w:cstheme="minorHAnsi"/>
                <w:sz w:val="20"/>
                <w:szCs w:val="20"/>
              </w:rPr>
              <w:t>.  These agencies provide application assistance at a variety of convenient locations, provide guidance in understanding food assistance benefits, and acts as a future liaison for client follow up and communication.  DCF currently has two SNAP Outreach provid</w:t>
            </w:r>
            <w:r w:rsidR="006450D7">
              <w:rPr>
                <w:rFonts w:cstheme="minorHAnsi"/>
                <w:sz w:val="20"/>
                <w:szCs w:val="20"/>
              </w:rPr>
              <w:t>ers – Catholic Charities Diocese of Venice and Second Harvest Food Bank of Florida.</w:t>
            </w:r>
          </w:p>
          <w:p w:rsidR="009F1961" w:rsidRPr="003B1A37" w:rsidRDefault="009F1961" w:rsidP="00133594">
            <w:pPr>
              <w:rPr>
                <w:sz w:val="20"/>
              </w:rPr>
            </w:pPr>
          </w:p>
          <w:p w:rsidR="00133594" w:rsidRDefault="009F1961" w:rsidP="00575BED">
            <w:pPr>
              <w:rPr>
                <w:sz w:val="20"/>
              </w:rPr>
            </w:pPr>
            <w:r w:rsidRPr="00133594">
              <w:rPr>
                <w:b/>
                <w:i/>
                <w:sz w:val="20"/>
              </w:rPr>
              <w:t>Agencies Involved:</w:t>
            </w:r>
            <w:r>
              <w:rPr>
                <w:b/>
                <w:i/>
                <w:sz w:val="20"/>
              </w:rPr>
              <w:t xml:space="preserve"> </w:t>
            </w:r>
            <w:r>
              <w:rPr>
                <w:sz w:val="20"/>
              </w:rPr>
              <w:t>Department of Children and Families</w:t>
            </w:r>
          </w:p>
          <w:p w:rsidR="009F1961" w:rsidRPr="009F1961" w:rsidRDefault="009F1961" w:rsidP="00575BED">
            <w:pPr>
              <w:rPr>
                <w:sz w:val="20"/>
              </w:rPr>
            </w:pPr>
            <w:r>
              <w:rPr>
                <w:sz w:val="20"/>
              </w:rPr>
              <w:t>Community Partners</w:t>
            </w:r>
          </w:p>
        </w:tc>
        <w:tc>
          <w:tcPr>
            <w:tcW w:w="3598" w:type="dxa"/>
            <w:shd w:val="clear" w:color="auto" w:fill="auto"/>
          </w:tcPr>
          <w:p w:rsidR="00575BED" w:rsidRDefault="00575BED" w:rsidP="00133594">
            <w:pPr>
              <w:rPr>
                <w:b/>
                <w:i/>
                <w:sz w:val="20"/>
              </w:rPr>
            </w:pPr>
          </w:p>
          <w:p w:rsidR="00D306BA" w:rsidRPr="00240E8B" w:rsidRDefault="00D306BA" w:rsidP="00D306BA">
            <w:pPr>
              <w:rPr>
                <w:sz w:val="20"/>
                <w:szCs w:val="20"/>
              </w:rPr>
            </w:pPr>
            <w:r w:rsidRPr="00240E8B">
              <w:rPr>
                <w:b/>
                <w:i/>
                <w:sz w:val="20"/>
                <w:szCs w:val="20"/>
              </w:rPr>
              <w:t>Title:</w:t>
            </w:r>
            <w:r w:rsidRPr="00240E8B">
              <w:rPr>
                <w:sz w:val="20"/>
                <w:szCs w:val="20"/>
              </w:rPr>
              <w:t xml:space="preserve"> Quarterly Mailings/Email Blast to Child Care Providers</w:t>
            </w:r>
          </w:p>
          <w:p w:rsidR="00D306BA" w:rsidRPr="00240E8B" w:rsidRDefault="00D306BA" w:rsidP="00D306BA">
            <w:pPr>
              <w:rPr>
                <w:sz w:val="20"/>
                <w:szCs w:val="20"/>
              </w:rPr>
            </w:pPr>
          </w:p>
          <w:p w:rsidR="00D306BA" w:rsidRPr="00240E8B" w:rsidRDefault="00D306BA" w:rsidP="00D306BA">
            <w:pPr>
              <w:rPr>
                <w:sz w:val="20"/>
                <w:szCs w:val="20"/>
              </w:rPr>
            </w:pPr>
            <w:r w:rsidRPr="00240E8B">
              <w:rPr>
                <w:b/>
                <w:i/>
                <w:sz w:val="20"/>
                <w:szCs w:val="20"/>
              </w:rPr>
              <w:t>Goal/Description:</w:t>
            </w:r>
            <w:r w:rsidRPr="00240E8B">
              <w:rPr>
                <w:sz w:val="20"/>
                <w:szCs w:val="20"/>
              </w:rPr>
              <w:t xml:space="preserve"> Share information, related to health and safety, rule changes, campaign information; such as water safety, and Look Before you Lock with child care providers.  Information for the communication is obtained from multiple state agencies that work with child care providers/programs and other community partners.</w:t>
            </w:r>
          </w:p>
          <w:p w:rsidR="00D306BA" w:rsidRPr="00240E8B" w:rsidRDefault="00D306BA" w:rsidP="00D306BA">
            <w:pPr>
              <w:rPr>
                <w:sz w:val="20"/>
                <w:szCs w:val="20"/>
              </w:rPr>
            </w:pPr>
          </w:p>
          <w:p w:rsidR="00D306BA" w:rsidRPr="00240E8B" w:rsidRDefault="00D306BA" w:rsidP="00D306BA">
            <w:pPr>
              <w:rPr>
                <w:b/>
                <w:i/>
                <w:sz w:val="20"/>
                <w:szCs w:val="20"/>
              </w:rPr>
            </w:pPr>
            <w:r w:rsidRPr="00240E8B">
              <w:rPr>
                <w:b/>
                <w:i/>
                <w:sz w:val="20"/>
                <w:szCs w:val="20"/>
              </w:rPr>
              <w:t>Agencies Involved:</w:t>
            </w:r>
          </w:p>
          <w:p w:rsidR="00D306BA" w:rsidRPr="00240E8B" w:rsidRDefault="00D306BA" w:rsidP="00D306BA">
            <w:pPr>
              <w:rPr>
                <w:sz w:val="20"/>
                <w:szCs w:val="20"/>
              </w:rPr>
            </w:pPr>
            <w:r w:rsidRPr="00240E8B">
              <w:rPr>
                <w:sz w:val="20"/>
                <w:szCs w:val="20"/>
              </w:rPr>
              <w:t>Department of Children and Families</w:t>
            </w:r>
          </w:p>
          <w:p w:rsidR="00D306BA" w:rsidRPr="00240E8B" w:rsidRDefault="00D306BA" w:rsidP="00D306BA">
            <w:pPr>
              <w:rPr>
                <w:sz w:val="20"/>
                <w:szCs w:val="20"/>
              </w:rPr>
            </w:pPr>
            <w:r w:rsidRPr="00240E8B">
              <w:rPr>
                <w:sz w:val="20"/>
                <w:szCs w:val="20"/>
              </w:rPr>
              <w:t>Florida’ s Office of Early Learning</w:t>
            </w:r>
          </w:p>
          <w:p w:rsidR="00D306BA" w:rsidRPr="00240E8B" w:rsidRDefault="00D306BA" w:rsidP="00D306BA">
            <w:pPr>
              <w:rPr>
                <w:sz w:val="20"/>
                <w:szCs w:val="20"/>
              </w:rPr>
            </w:pPr>
            <w:r w:rsidRPr="00240E8B">
              <w:rPr>
                <w:sz w:val="20"/>
                <w:szCs w:val="20"/>
              </w:rPr>
              <w:t>Department of Health</w:t>
            </w:r>
          </w:p>
          <w:p w:rsidR="00D306BA" w:rsidRPr="00240E8B" w:rsidRDefault="00D306BA" w:rsidP="00D306BA">
            <w:pPr>
              <w:rPr>
                <w:sz w:val="20"/>
                <w:szCs w:val="20"/>
              </w:rPr>
            </w:pPr>
            <w:r w:rsidRPr="00240E8B">
              <w:rPr>
                <w:sz w:val="20"/>
                <w:szCs w:val="20"/>
              </w:rPr>
              <w:t>Other community partners</w:t>
            </w:r>
          </w:p>
          <w:p w:rsidR="00133594" w:rsidRPr="00126CFD" w:rsidRDefault="00133594" w:rsidP="00575BED">
            <w:pPr>
              <w:rPr>
                <w:b/>
                <w:sz w:val="20"/>
              </w:rPr>
            </w:pPr>
          </w:p>
        </w:tc>
        <w:tc>
          <w:tcPr>
            <w:tcW w:w="3598" w:type="dxa"/>
            <w:shd w:val="clear" w:color="auto" w:fill="F2F2F2" w:themeFill="background1" w:themeFillShade="F2"/>
          </w:tcPr>
          <w:p w:rsidR="00575BED" w:rsidRDefault="00575BED" w:rsidP="00133594">
            <w:pPr>
              <w:rPr>
                <w:b/>
                <w:i/>
                <w:sz w:val="20"/>
              </w:rPr>
            </w:pPr>
          </w:p>
          <w:p w:rsidR="00D306BA" w:rsidRDefault="00D306BA" w:rsidP="00D306BA">
            <w:pPr>
              <w:rPr>
                <w:sz w:val="20"/>
              </w:rPr>
            </w:pPr>
            <w:r w:rsidRPr="00133594">
              <w:rPr>
                <w:b/>
                <w:i/>
                <w:sz w:val="20"/>
              </w:rPr>
              <w:t>Title:</w:t>
            </w:r>
            <w:r>
              <w:rPr>
                <w:i/>
                <w:sz w:val="20"/>
              </w:rPr>
              <w:t xml:space="preserve">  </w:t>
            </w:r>
            <w:r w:rsidRPr="00643690">
              <w:rPr>
                <w:b/>
                <w:sz w:val="20"/>
              </w:rPr>
              <w:t>Florida Suicide Prevention Plan</w:t>
            </w:r>
          </w:p>
          <w:p w:rsidR="00D306BA" w:rsidRPr="00433B7A" w:rsidRDefault="00D306BA" w:rsidP="00D306BA">
            <w:pPr>
              <w:rPr>
                <w:sz w:val="8"/>
                <w:szCs w:val="8"/>
              </w:rPr>
            </w:pPr>
          </w:p>
          <w:p w:rsidR="00D306BA" w:rsidRPr="004B17A5" w:rsidRDefault="00D306BA" w:rsidP="00D306BA">
            <w:pPr>
              <w:rPr>
                <w:sz w:val="20"/>
              </w:rPr>
            </w:pPr>
            <w:r>
              <w:rPr>
                <w:b/>
                <w:i/>
                <w:sz w:val="20"/>
              </w:rPr>
              <w:t xml:space="preserve">Goal Description:  </w:t>
            </w:r>
            <w:r>
              <w:rPr>
                <w:sz w:val="20"/>
              </w:rPr>
              <w:t>Integrate and coordinate suicide prevention activities across multiple sectors and settings.</w:t>
            </w:r>
          </w:p>
          <w:p w:rsidR="00D306BA" w:rsidRPr="00433B7A" w:rsidRDefault="00D306BA" w:rsidP="00D306BA">
            <w:pPr>
              <w:rPr>
                <w:sz w:val="8"/>
                <w:szCs w:val="8"/>
              </w:rPr>
            </w:pPr>
          </w:p>
          <w:p w:rsidR="00D306BA" w:rsidRDefault="00D306BA" w:rsidP="00D306BA">
            <w:pPr>
              <w:rPr>
                <w:sz w:val="20"/>
              </w:rPr>
            </w:pPr>
            <w:r w:rsidRPr="00133594">
              <w:rPr>
                <w:b/>
                <w:i/>
                <w:sz w:val="20"/>
              </w:rPr>
              <w:t>Agencies Involved:</w:t>
            </w:r>
            <w:r>
              <w:rPr>
                <w:sz w:val="20"/>
              </w:rPr>
              <w:t xml:space="preserve"> State, tribal, and local Governments; businesses and employers; non-profit, community, and faith-based organizations; health system, insurers, clinicians; and individuals and families.</w:t>
            </w:r>
          </w:p>
          <w:p w:rsidR="00133594" w:rsidRPr="00126CFD" w:rsidRDefault="00133594" w:rsidP="00575BED">
            <w:pPr>
              <w:rPr>
                <w:b/>
                <w:sz w:val="20"/>
              </w:rPr>
            </w:pPr>
          </w:p>
        </w:tc>
      </w:tr>
      <w:tr w:rsidR="00575BED" w:rsidTr="00DB7B1C">
        <w:trPr>
          <w:trHeight w:val="1430"/>
        </w:trPr>
        <w:tc>
          <w:tcPr>
            <w:tcW w:w="3597" w:type="dxa"/>
            <w:shd w:val="clear" w:color="auto" w:fill="F2F2F2" w:themeFill="background1" w:themeFillShade="F2"/>
            <w:vAlign w:val="center"/>
          </w:tcPr>
          <w:p w:rsidR="00575BED" w:rsidRDefault="00575BED" w:rsidP="00575BED">
            <w:pPr>
              <w:jc w:val="center"/>
              <w:rPr>
                <w:b/>
              </w:rPr>
            </w:pPr>
            <w:r>
              <w:rPr>
                <w:b/>
              </w:rPr>
              <w:t xml:space="preserve">Operations &amp; </w:t>
            </w:r>
            <w:r w:rsidRPr="00FA7E6F">
              <w:rPr>
                <w:b/>
              </w:rPr>
              <w:t>Programming</w:t>
            </w:r>
          </w:p>
        </w:tc>
        <w:tc>
          <w:tcPr>
            <w:tcW w:w="3597" w:type="dxa"/>
            <w:shd w:val="clear" w:color="auto" w:fill="F2F2F2" w:themeFill="background1" w:themeFillShade="F2"/>
          </w:tcPr>
          <w:p w:rsidR="00575BED" w:rsidRDefault="00575BED" w:rsidP="00575BED">
            <w:pPr>
              <w:rPr>
                <w:b/>
                <w:i/>
                <w:sz w:val="20"/>
              </w:rPr>
            </w:pPr>
          </w:p>
          <w:p w:rsidR="00575BED" w:rsidRDefault="00575BED" w:rsidP="00575BED">
            <w:pPr>
              <w:rPr>
                <w:b/>
                <w:sz w:val="20"/>
              </w:rPr>
            </w:pPr>
            <w:r w:rsidRPr="00133594">
              <w:rPr>
                <w:b/>
                <w:i/>
                <w:sz w:val="20"/>
              </w:rPr>
              <w:t>Title:</w:t>
            </w:r>
            <w:r>
              <w:rPr>
                <w:i/>
                <w:sz w:val="20"/>
              </w:rPr>
              <w:t xml:space="preserve"> </w:t>
            </w:r>
            <w:r w:rsidR="002D753E">
              <w:rPr>
                <w:b/>
                <w:sz w:val="20"/>
              </w:rPr>
              <w:t>School Lunch Program</w:t>
            </w:r>
          </w:p>
          <w:p w:rsidR="002D753E" w:rsidRPr="003B1A37" w:rsidRDefault="002D753E" w:rsidP="00575BED">
            <w:pPr>
              <w:rPr>
                <w:sz w:val="20"/>
              </w:rPr>
            </w:pPr>
          </w:p>
          <w:p w:rsidR="00575BED" w:rsidRDefault="00575BED" w:rsidP="00575BED">
            <w:pPr>
              <w:rPr>
                <w:sz w:val="20"/>
              </w:rPr>
            </w:pPr>
            <w:r w:rsidRPr="00133594">
              <w:rPr>
                <w:b/>
                <w:i/>
                <w:sz w:val="20"/>
              </w:rPr>
              <w:t>Goal/Description:</w:t>
            </w:r>
            <w:r>
              <w:rPr>
                <w:sz w:val="20"/>
              </w:rPr>
              <w:t xml:space="preserve"> </w:t>
            </w:r>
            <w:r w:rsidR="002D753E">
              <w:rPr>
                <w:sz w:val="20"/>
              </w:rPr>
              <w:t>The school lunch program is a federally assisted meal program for public and nonprofit private schools and residential child care institutions.  It provides nutritionally balanced, low-cost or free lunches to children each school day.</w:t>
            </w:r>
          </w:p>
          <w:p w:rsidR="002D753E" w:rsidRPr="003B1A37" w:rsidRDefault="002D753E" w:rsidP="00575BED">
            <w:pPr>
              <w:rPr>
                <w:sz w:val="20"/>
              </w:rPr>
            </w:pPr>
          </w:p>
          <w:p w:rsidR="00575BED" w:rsidRDefault="00575BED" w:rsidP="00575BED">
            <w:pPr>
              <w:rPr>
                <w:sz w:val="20"/>
              </w:rPr>
            </w:pPr>
            <w:r w:rsidRPr="00133594">
              <w:rPr>
                <w:b/>
                <w:i/>
                <w:sz w:val="20"/>
              </w:rPr>
              <w:t>Agencies Involved:</w:t>
            </w:r>
            <w:r>
              <w:rPr>
                <w:sz w:val="20"/>
              </w:rPr>
              <w:t xml:space="preserve"> </w:t>
            </w:r>
            <w:r w:rsidR="002D753E">
              <w:rPr>
                <w:sz w:val="20"/>
              </w:rPr>
              <w:t>Department of Children and Families</w:t>
            </w:r>
          </w:p>
          <w:p w:rsidR="002D753E" w:rsidRPr="003B1A37" w:rsidRDefault="002D753E" w:rsidP="00575BED">
            <w:pPr>
              <w:rPr>
                <w:sz w:val="20"/>
              </w:rPr>
            </w:pPr>
            <w:r>
              <w:rPr>
                <w:sz w:val="20"/>
              </w:rPr>
              <w:t>Department of Agriculture and Consumer Services</w:t>
            </w:r>
          </w:p>
          <w:p w:rsidR="00575BED" w:rsidRPr="00126CFD" w:rsidRDefault="00575BED" w:rsidP="00575BED">
            <w:pPr>
              <w:rPr>
                <w:b/>
                <w:sz w:val="20"/>
              </w:rPr>
            </w:pPr>
          </w:p>
        </w:tc>
        <w:tc>
          <w:tcPr>
            <w:tcW w:w="3598" w:type="dxa"/>
            <w:shd w:val="clear" w:color="auto" w:fill="auto"/>
          </w:tcPr>
          <w:p w:rsidR="00575BED" w:rsidRDefault="00575BED" w:rsidP="00575BED">
            <w:pPr>
              <w:rPr>
                <w:b/>
                <w:i/>
                <w:sz w:val="20"/>
              </w:rPr>
            </w:pPr>
          </w:p>
          <w:p w:rsidR="00D306BA" w:rsidRPr="00240E8B" w:rsidRDefault="00D306BA" w:rsidP="00D306BA">
            <w:pPr>
              <w:rPr>
                <w:sz w:val="20"/>
                <w:szCs w:val="20"/>
              </w:rPr>
            </w:pPr>
            <w:r w:rsidRPr="00240E8B">
              <w:rPr>
                <w:b/>
                <w:i/>
                <w:sz w:val="20"/>
                <w:szCs w:val="20"/>
              </w:rPr>
              <w:t>Title:</w:t>
            </w:r>
            <w:r w:rsidRPr="00240E8B">
              <w:rPr>
                <w:sz w:val="20"/>
                <w:szCs w:val="20"/>
              </w:rPr>
              <w:t xml:space="preserve"> School Readiness (SR) Inspections for Licensed and License Exempt Providers (religious exempt, registered family</w:t>
            </w:r>
            <w:r>
              <w:rPr>
                <w:sz w:val="20"/>
                <w:szCs w:val="20"/>
              </w:rPr>
              <w:t xml:space="preserve"> day care homes, public and non-p</w:t>
            </w:r>
            <w:r w:rsidRPr="00240E8B">
              <w:rPr>
                <w:sz w:val="20"/>
                <w:szCs w:val="20"/>
              </w:rPr>
              <w:t>ublic schools)</w:t>
            </w:r>
          </w:p>
          <w:p w:rsidR="00D306BA" w:rsidRPr="00240E8B" w:rsidRDefault="00D306BA" w:rsidP="00D306BA">
            <w:pPr>
              <w:rPr>
                <w:sz w:val="20"/>
                <w:szCs w:val="20"/>
              </w:rPr>
            </w:pPr>
          </w:p>
          <w:p w:rsidR="00D306BA" w:rsidRPr="00240E8B" w:rsidRDefault="00D306BA" w:rsidP="00D306BA">
            <w:pPr>
              <w:rPr>
                <w:sz w:val="20"/>
                <w:szCs w:val="20"/>
              </w:rPr>
            </w:pPr>
            <w:r w:rsidRPr="00240E8B">
              <w:rPr>
                <w:b/>
                <w:i/>
                <w:sz w:val="20"/>
                <w:szCs w:val="20"/>
              </w:rPr>
              <w:t>Goal/Description:</w:t>
            </w:r>
            <w:r w:rsidRPr="00240E8B">
              <w:rPr>
                <w:sz w:val="20"/>
                <w:szCs w:val="20"/>
              </w:rPr>
              <w:t xml:space="preserve"> Monitoring SR providers for health and safety for participation in the SR program.  DCF began providing technical assistance to SR providers in November 2016 on upcoming changes based on state and federal law changes.  DCF began monitoring for compliance on July 1, 2017 upon adoption of the Office of Early Learning’s School Readiness health and safety standards, with the exception of credentialing requirements that go into effect in October 2018.  </w:t>
            </w:r>
          </w:p>
          <w:p w:rsidR="00D306BA" w:rsidRPr="00240E8B" w:rsidRDefault="00D306BA" w:rsidP="00D306BA">
            <w:pPr>
              <w:rPr>
                <w:sz w:val="20"/>
                <w:szCs w:val="20"/>
              </w:rPr>
            </w:pPr>
          </w:p>
          <w:p w:rsidR="00D306BA" w:rsidRPr="00240E8B" w:rsidRDefault="00D306BA" w:rsidP="00D306BA">
            <w:pPr>
              <w:rPr>
                <w:b/>
                <w:i/>
                <w:sz w:val="20"/>
                <w:szCs w:val="20"/>
              </w:rPr>
            </w:pPr>
            <w:r w:rsidRPr="00240E8B">
              <w:rPr>
                <w:b/>
                <w:i/>
                <w:sz w:val="20"/>
                <w:szCs w:val="20"/>
              </w:rPr>
              <w:lastRenderedPageBreak/>
              <w:t>Agencies Involved:</w:t>
            </w:r>
          </w:p>
          <w:p w:rsidR="00D306BA" w:rsidRPr="00240E8B" w:rsidRDefault="00D306BA" w:rsidP="00D306BA">
            <w:pPr>
              <w:rPr>
                <w:sz w:val="20"/>
                <w:szCs w:val="20"/>
              </w:rPr>
            </w:pPr>
            <w:r w:rsidRPr="00240E8B">
              <w:rPr>
                <w:sz w:val="20"/>
                <w:szCs w:val="20"/>
              </w:rPr>
              <w:t xml:space="preserve">Department of Children and  Families </w:t>
            </w:r>
          </w:p>
          <w:p w:rsidR="00D306BA" w:rsidRPr="00240E8B" w:rsidRDefault="00D306BA" w:rsidP="00D306BA">
            <w:pPr>
              <w:rPr>
                <w:sz w:val="20"/>
                <w:szCs w:val="20"/>
              </w:rPr>
            </w:pPr>
            <w:r w:rsidRPr="00240E8B">
              <w:rPr>
                <w:sz w:val="20"/>
                <w:szCs w:val="20"/>
              </w:rPr>
              <w:t>Florida’s Office of Early Learning</w:t>
            </w:r>
          </w:p>
          <w:p w:rsidR="00D306BA" w:rsidRPr="002C5D54" w:rsidRDefault="00D306BA" w:rsidP="00D306BA">
            <w:pPr>
              <w:rPr>
                <w:sz w:val="16"/>
                <w:szCs w:val="16"/>
              </w:rPr>
            </w:pPr>
          </w:p>
          <w:p w:rsidR="00D306BA" w:rsidRPr="002C5D54" w:rsidRDefault="00D306BA" w:rsidP="00D306BA">
            <w:r w:rsidRPr="002C5D54">
              <w:t>- - - - - - - - - - - - - -</w:t>
            </w:r>
            <w:r>
              <w:t xml:space="preserve"> - - - - - - - - - - - - - - -</w:t>
            </w:r>
          </w:p>
          <w:p w:rsidR="00D306BA" w:rsidRPr="002C5D54" w:rsidRDefault="00D306BA" w:rsidP="00D306BA">
            <w:pPr>
              <w:rPr>
                <w:sz w:val="16"/>
                <w:szCs w:val="16"/>
              </w:rPr>
            </w:pPr>
          </w:p>
          <w:p w:rsidR="00D306BA" w:rsidRPr="00240E8B" w:rsidRDefault="00D306BA" w:rsidP="00D306BA">
            <w:pPr>
              <w:rPr>
                <w:sz w:val="20"/>
                <w:szCs w:val="20"/>
              </w:rPr>
            </w:pPr>
            <w:r w:rsidRPr="00240E8B">
              <w:rPr>
                <w:b/>
                <w:i/>
                <w:sz w:val="20"/>
                <w:szCs w:val="20"/>
              </w:rPr>
              <w:t>Title:</w:t>
            </w:r>
            <w:r w:rsidRPr="00240E8B">
              <w:rPr>
                <w:sz w:val="20"/>
                <w:szCs w:val="20"/>
              </w:rPr>
              <w:t xml:space="preserve"> Professional Development Registry</w:t>
            </w:r>
          </w:p>
          <w:p w:rsidR="00D306BA" w:rsidRPr="00240E8B" w:rsidRDefault="00D306BA" w:rsidP="00D306BA">
            <w:pPr>
              <w:rPr>
                <w:sz w:val="20"/>
                <w:szCs w:val="20"/>
              </w:rPr>
            </w:pPr>
          </w:p>
          <w:p w:rsidR="00D306BA" w:rsidRDefault="00D306BA" w:rsidP="00D306BA">
            <w:pPr>
              <w:rPr>
                <w:rFonts w:eastAsia="Times New Roman" w:cs="Arial"/>
                <w:kern w:val="36"/>
                <w:sz w:val="20"/>
                <w:szCs w:val="20"/>
              </w:rPr>
            </w:pPr>
            <w:r w:rsidRPr="00240E8B">
              <w:rPr>
                <w:b/>
                <w:i/>
                <w:sz w:val="20"/>
                <w:szCs w:val="20"/>
              </w:rPr>
              <w:t>Goal/Description:</w:t>
            </w:r>
            <w:r w:rsidRPr="00240E8B">
              <w:rPr>
                <w:rFonts w:cs="Arial"/>
                <w:b/>
                <w:i/>
                <w:sz w:val="20"/>
                <w:szCs w:val="20"/>
              </w:rPr>
              <w:t xml:space="preserve"> </w:t>
            </w:r>
            <w:r w:rsidRPr="00240E8B">
              <w:rPr>
                <w:rFonts w:eastAsia="Times New Roman" w:cs="Arial"/>
                <w:kern w:val="36"/>
                <w:sz w:val="20"/>
                <w:szCs w:val="20"/>
              </w:rPr>
              <w:t>Florida’s Office of Early Learning and DCF are partnering to build a professional development registry for child care.  Building upon the Department’s existing Child Care Training System, Phase 1 is complete and work on Phase 2 has begun.</w:t>
            </w:r>
            <w:r>
              <w:rPr>
                <w:rFonts w:eastAsia="Times New Roman" w:cs="Arial"/>
                <w:kern w:val="36"/>
                <w:sz w:val="20"/>
                <w:szCs w:val="20"/>
              </w:rPr>
              <w:t xml:space="preserve">  </w:t>
            </w:r>
            <w:r w:rsidRPr="00240E8B">
              <w:rPr>
                <w:rFonts w:eastAsia="Times New Roman" w:cs="Arial"/>
                <w:kern w:val="36"/>
                <w:sz w:val="20"/>
                <w:szCs w:val="20"/>
              </w:rPr>
              <w:t>The registry allows early learning professionals to track training they have completed and record certificates they receive.  Florida's statewide registry helps attract, retain and develop a well-qualified early care and education workforce.  The system assists practitioners in assessing current qualifications, identifying education resources and supports, and planning their career pathway.  The registry will allow policymakers to analyze barriers to access, and support the need for continued career advancement and program-wide improvements for early learning programs.</w:t>
            </w:r>
          </w:p>
          <w:p w:rsidR="00D306BA" w:rsidRPr="00240E8B" w:rsidRDefault="00D306BA" w:rsidP="00D306BA">
            <w:pPr>
              <w:outlineLvl w:val="1"/>
              <w:rPr>
                <w:rFonts w:eastAsia="Times New Roman" w:cs="Arial"/>
                <w:kern w:val="36"/>
                <w:sz w:val="20"/>
                <w:szCs w:val="20"/>
              </w:rPr>
            </w:pPr>
          </w:p>
          <w:p w:rsidR="00D306BA" w:rsidRPr="00240E8B" w:rsidRDefault="00D306BA" w:rsidP="00D306BA">
            <w:pPr>
              <w:rPr>
                <w:b/>
                <w:i/>
                <w:sz w:val="20"/>
                <w:szCs w:val="20"/>
              </w:rPr>
            </w:pPr>
            <w:r w:rsidRPr="00240E8B">
              <w:rPr>
                <w:b/>
                <w:i/>
                <w:sz w:val="20"/>
                <w:szCs w:val="20"/>
              </w:rPr>
              <w:t>Agencies Involved:</w:t>
            </w:r>
          </w:p>
          <w:p w:rsidR="00D306BA" w:rsidRPr="00240E8B" w:rsidRDefault="00D306BA" w:rsidP="00D306BA">
            <w:pPr>
              <w:rPr>
                <w:sz w:val="20"/>
                <w:szCs w:val="20"/>
              </w:rPr>
            </w:pPr>
            <w:r w:rsidRPr="00240E8B">
              <w:rPr>
                <w:sz w:val="20"/>
                <w:szCs w:val="20"/>
              </w:rPr>
              <w:t>Florida’s Office of Early Learning</w:t>
            </w:r>
          </w:p>
          <w:p w:rsidR="00D306BA" w:rsidRPr="00240E8B" w:rsidRDefault="00D306BA" w:rsidP="00D306BA">
            <w:pPr>
              <w:rPr>
                <w:sz w:val="20"/>
                <w:szCs w:val="20"/>
              </w:rPr>
            </w:pPr>
            <w:r w:rsidRPr="00240E8B">
              <w:rPr>
                <w:sz w:val="20"/>
                <w:szCs w:val="20"/>
              </w:rPr>
              <w:t>Department of Children and Families</w:t>
            </w:r>
          </w:p>
          <w:p w:rsidR="00D306BA" w:rsidRPr="002C5D54" w:rsidRDefault="00D306BA" w:rsidP="00D306BA">
            <w:pPr>
              <w:rPr>
                <w:sz w:val="16"/>
                <w:szCs w:val="16"/>
              </w:rPr>
            </w:pPr>
          </w:p>
          <w:p w:rsidR="00D306BA" w:rsidRPr="002C5D54" w:rsidRDefault="00D306BA" w:rsidP="00D306BA">
            <w:r w:rsidRPr="002C5D54">
              <w:t>- - - - - - - - - - - - - -</w:t>
            </w:r>
            <w:r>
              <w:t xml:space="preserve"> - - - - - - - - - - - - - - -</w:t>
            </w:r>
          </w:p>
          <w:p w:rsidR="00D306BA" w:rsidRPr="002C5D54" w:rsidRDefault="00D306BA" w:rsidP="00D306BA">
            <w:pPr>
              <w:rPr>
                <w:sz w:val="16"/>
                <w:szCs w:val="16"/>
              </w:rPr>
            </w:pPr>
          </w:p>
          <w:p w:rsidR="00D306BA" w:rsidRPr="00240E8B" w:rsidRDefault="00D306BA" w:rsidP="00D306BA">
            <w:pPr>
              <w:rPr>
                <w:sz w:val="20"/>
                <w:szCs w:val="20"/>
              </w:rPr>
            </w:pPr>
            <w:r w:rsidRPr="00240E8B">
              <w:rPr>
                <w:b/>
                <w:i/>
                <w:sz w:val="20"/>
                <w:szCs w:val="20"/>
              </w:rPr>
              <w:lastRenderedPageBreak/>
              <w:t>Title:</w:t>
            </w:r>
            <w:r w:rsidRPr="00240E8B">
              <w:rPr>
                <w:sz w:val="20"/>
                <w:szCs w:val="20"/>
              </w:rPr>
              <w:t xml:space="preserve"> Release of a new five-hour online training course: Trauma Informed Care for Child Care Professionals</w:t>
            </w:r>
          </w:p>
          <w:p w:rsidR="00D306BA" w:rsidRPr="00240E8B" w:rsidRDefault="00D306BA" w:rsidP="00D306BA">
            <w:pPr>
              <w:rPr>
                <w:sz w:val="20"/>
                <w:szCs w:val="20"/>
              </w:rPr>
            </w:pPr>
          </w:p>
          <w:p w:rsidR="00D306BA" w:rsidRPr="00240E8B" w:rsidRDefault="00D306BA" w:rsidP="00D306BA">
            <w:pPr>
              <w:rPr>
                <w:sz w:val="20"/>
                <w:szCs w:val="20"/>
              </w:rPr>
            </w:pPr>
            <w:r w:rsidRPr="00240E8B">
              <w:rPr>
                <w:sz w:val="20"/>
                <w:szCs w:val="20"/>
              </w:rPr>
              <w:t>The course was presented at the Children’s Summit along with Hillsborough County’s work with child care professionals.</w:t>
            </w:r>
          </w:p>
          <w:p w:rsidR="00D306BA" w:rsidRPr="00240E8B" w:rsidRDefault="00D306BA" w:rsidP="00D306BA">
            <w:pPr>
              <w:rPr>
                <w:sz w:val="20"/>
                <w:szCs w:val="20"/>
              </w:rPr>
            </w:pPr>
          </w:p>
          <w:p w:rsidR="00D306BA" w:rsidRPr="00240E8B" w:rsidRDefault="00D306BA" w:rsidP="00D306BA">
            <w:pPr>
              <w:rPr>
                <w:sz w:val="20"/>
                <w:szCs w:val="20"/>
              </w:rPr>
            </w:pPr>
            <w:r w:rsidRPr="00240E8B">
              <w:rPr>
                <w:b/>
                <w:i/>
                <w:sz w:val="20"/>
                <w:szCs w:val="20"/>
              </w:rPr>
              <w:t>Goal/Description:</w:t>
            </w:r>
            <w:r w:rsidRPr="00240E8B">
              <w:rPr>
                <w:sz w:val="20"/>
                <w:szCs w:val="20"/>
              </w:rPr>
              <w:t xml:space="preserve"> The course provides child care professionals with an overview of the impact of trauma on children and their families, and how to incorporate learning strategies to decrease stress in the classroom.</w:t>
            </w:r>
          </w:p>
          <w:p w:rsidR="00D306BA" w:rsidRPr="00240E8B" w:rsidRDefault="00D306BA" w:rsidP="00D306BA">
            <w:pPr>
              <w:rPr>
                <w:sz w:val="20"/>
                <w:szCs w:val="20"/>
              </w:rPr>
            </w:pPr>
          </w:p>
          <w:p w:rsidR="00D306BA" w:rsidRPr="00240E8B" w:rsidRDefault="00D306BA" w:rsidP="00D306BA">
            <w:pPr>
              <w:rPr>
                <w:b/>
                <w:i/>
                <w:sz w:val="20"/>
                <w:szCs w:val="20"/>
              </w:rPr>
            </w:pPr>
            <w:r w:rsidRPr="00240E8B">
              <w:rPr>
                <w:b/>
                <w:i/>
                <w:sz w:val="20"/>
                <w:szCs w:val="20"/>
              </w:rPr>
              <w:t>Agencies Involved:</w:t>
            </w:r>
          </w:p>
          <w:p w:rsidR="00D306BA" w:rsidRPr="00240E8B" w:rsidRDefault="00D306BA" w:rsidP="00D306BA">
            <w:pPr>
              <w:rPr>
                <w:sz w:val="20"/>
                <w:szCs w:val="20"/>
              </w:rPr>
            </w:pPr>
            <w:r w:rsidRPr="00240E8B">
              <w:rPr>
                <w:sz w:val="20"/>
                <w:szCs w:val="20"/>
              </w:rPr>
              <w:t>Department of Children and Families</w:t>
            </w:r>
          </w:p>
          <w:p w:rsidR="00D306BA" w:rsidRPr="00240E8B" w:rsidRDefault="00D306BA" w:rsidP="00D306BA">
            <w:pPr>
              <w:rPr>
                <w:sz w:val="20"/>
                <w:szCs w:val="20"/>
              </w:rPr>
            </w:pPr>
            <w:r w:rsidRPr="00240E8B">
              <w:rPr>
                <w:sz w:val="20"/>
                <w:szCs w:val="20"/>
              </w:rPr>
              <w:t>Florida State University Center for Interactive Media</w:t>
            </w:r>
          </w:p>
          <w:p w:rsidR="00D306BA" w:rsidRPr="00240E8B" w:rsidRDefault="00D306BA" w:rsidP="00D306BA">
            <w:pPr>
              <w:rPr>
                <w:sz w:val="20"/>
                <w:szCs w:val="20"/>
              </w:rPr>
            </w:pPr>
            <w:r w:rsidRPr="00240E8B">
              <w:rPr>
                <w:sz w:val="20"/>
                <w:szCs w:val="20"/>
              </w:rPr>
              <w:t>Dr. Mimi Graham, Florida State University, Center for Prevention &amp; Early Intervention Policy</w:t>
            </w:r>
          </w:p>
          <w:p w:rsidR="00D306BA" w:rsidRPr="00240E8B" w:rsidRDefault="00D306BA" w:rsidP="00D306BA">
            <w:pPr>
              <w:rPr>
                <w:sz w:val="20"/>
                <w:szCs w:val="20"/>
              </w:rPr>
            </w:pPr>
            <w:r w:rsidRPr="00240E8B">
              <w:rPr>
                <w:sz w:val="20"/>
                <w:szCs w:val="20"/>
              </w:rPr>
              <w:t>Kristen Lang, L. David Shear Children’s Law Center of Bay Area Legal Services, Inc.</w:t>
            </w:r>
          </w:p>
          <w:p w:rsidR="00D306BA" w:rsidRPr="002C5D54" w:rsidRDefault="00D306BA" w:rsidP="00D306BA">
            <w:pPr>
              <w:rPr>
                <w:sz w:val="16"/>
                <w:szCs w:val="16"/>
              </w:rPr>
            </w:pPr>
          </w:p>
          <w:p w:rsidR="00D306BA" w:rsidRPr="002C5D54" w:rsidRDefault="00D306BA" w:rsidP="00D306BA">
            <w:r w:rsidRPr="002C5D54">
              <w:t>- - - - - - - - - - - - - -</w:t>
            </w:r>
            <w:r>
              <w:t xml:space="preserve"> - - - - - - - - - - - - - - -</w:t>
            </w:r>
          </w:p>
          <w:p w:rsidR="00D306BA" w:rsidRPr="002C5D54" w:rsidRDefault="00D306BA" w:rsidP="00D306BA">
            <w:pPr>
              <w:rPr>
                <w:sz w:val="16"/>
                <w:szCs w:val="16"/>
              </w:rPr>
            </w:pPr>
          </w:p>
          <w:p w:rsidR="00D306BA" w:rsidRPr="00240E8B" w:rsidRDefault="00D306BA" w:rsidP="00D306BA">
            <w:pPr>
              <w:rPr>
                <w:sz w:val="20"/>
                <w:szCs w:val="20"/>
              </w:rPr>
            </w:pPr>
            <w:r w:rsidRPr="00240E8B">
              <w:rPr>
                <w:b/>
                <w:i/>
                <w:sz w:val="20"/>
                <w:szCs w:val="20"/>
              </w:rPr>
              <w:t>Title:</w:t>
            </w:r>
            <w:r w:rsidRPr="00240E8B">
              <w:rPr>
                <w:sz w:val="20"/>
                <w:szCs w:val="20"/>
              </w:rPr>
              <w:t xml:space="preserve"> Rule Revisions to Chapter 65C-20 and Chapter 65C-22, Florida Administrative Code</w:t>
            </w:r>
          </w:p>
          <w:p w:rsidR="00D306BA" w:rsidRPr="00240E8B" w:rsidRDefault="00D306BA" w:rsidP="00D306BA">
            <w:pPr>
              <w:rPr>
                <w:sz w:val="20"/>
                <w:szCs w:val="20"/>
              </w:rPr>
            </w:pPr>
          </w:p>
          <w:p w:rsidR="00D306BA" w:rsidRPr="00240E8B" w:rsidRDefault="00D306BA" w:rsidP="00D306BA">
            <w:pPr>
              <w:rPr>
                <w:sz w:val="20"/>
                <w:szCs w:val="20"/>
              </w:rPr>
            </w:pPr>
            <w:r w:rsidRPr="00240E8B">
              <w:rPr>
                <w:b/>
                <w:i/>
                <w:sz w:val="20"/>
                <w:szCs w:val="20"/>
              </w:rPr>
              <w:t>Goal/Description:</w:t>
            </w:r>
            <w:r w:rsidRPr="00240E8B">
              <w:rPr>
                <w:sz w:val="20"/>
                <w:szCs w:val="20"/>
              </w:rPr>
              <w:t xml:space="preserve"> The Department is proposing rule changes as the result of the Child Care and Development Block Grant Reauthorization Act of 2014 (CCDBG) and state law changes during </w:t>
            </w:r>
            <w:r w:rsidRPr="00240E8B">
              <w:rPr>
                <w:sz w:val="20"/>
                <w:szCs w:val="20"/>
              </w:rPr>
              <w:lastRenderedPageBreak/>
              <w:t>the 2016 legislative session.  The proposed changes will align Florida’s health and safety standards including the new background screening requirements to meet the CCDBG requirements along with the national Caring for Our Children Basics Standards.  The Department is anticipating the adoption of these changes in October or November 2017.</w:t>
            </w:r>
          </w:p>
          <w:p w:rsidR="00D306BA" w:rsidRPr="00240E8B" w:rsidRDefault="00D306BA" w:rsidP="00D306BA">
            <w:pPr>
              <w:rPr>
                <w:sz w:val="20"/>
                <w:szCs w:val="20"/>
              </w:rPr>
            </w:pPr>
          </w:p>
          <w:p w:rsidR="00D306BA" w:rsidRPr="00240E8B" w:rsidRDefault="00D306BA" w:rsidP="00D306BA">
            <w:pPr>
              <w:rPr>
                <w:b/>
                <w:i/>
                <w:sz w:val="20"/>
                <w:szCs w:val="20"/>
              </w:rPr>
            </w:pPr>
            <w:r w:rsidRPr="00240E8B">
              <w:rPr>
                <w:b/>
                <w:i/>
                <w:sz w:val="20"/>
                <w:szCs w:val="20"/>
              </w:rPr>
              <w:t>Agencies Involved:</w:t>
            </w:r>
          </w:p>
          <w:p w:rsidR="00D306BA" w:rsidRPr="00240E8B" w:rsidRDefault="00D306BA" w:rsidP="00D306BA">
            <w:pPr>
              <w:rPr>
                <w:sz w:val="20"/>
                <w:szCs w:val="20"/>
              </w:rPr>
            </w:pPr>
            <w:r w:rsidRPr="00240E8B">
              <w:rPr>
                <w:sz w:val="20"/>
                <w:szCs w:val="20"/>
              </w:rPr>
              <w:t>Department of Children and Families</w:t>
            </w:r>
          </w:p>
          <w:p w:rsidR="00D306BA" w:rsidRPr="00240E8B" w:rsidRDefault="00D306BA" w:rsidP="00D306BA">
            <w:pPr>
              <w:rPr>
                <w:sz w:val="20"/>
                <w:szCs w:val="20"/>
              </w:rPr>
            </w:pPr>
            <w:r w:rsidRPr="00240E8B">
              <w:rPr>
                <w:sz w:val="20"/>
                <w:szCs w:val="20"/>
              </w:rPr>
              <w:t>Florida’s Office of Early Learning</w:t>
            </w:r>
          </w:p>
          <w:p w:rsidR="00575BED" w:rsidRPr="00126CFD" w:rsidRDefault="00575BED" w:rsidP="00575BED">
            <w:pPr>
              <w:rPr>
                <w:b/>
                <w:sz w:val="20"/>
              </w:rPr>
            </w:pPr>
          </w:p>
        </w:tc>
        <w:tc>
          <w:tcPr>
            <w:tcW w:w="3598" w:type="dxa"/>
            <w:shd w:val="clear" w:color="auto" w:fill="F2F2F2" w:themeFill="background1" w:themeFillShade="F2"/>
          </w:tcPr>
          <w:p w:rsidR="00575BED" w:rsidRDefault="00575BED" w:rsidP="00575BED">
            <w:pPr>
              <w:rPr>
                <w:b/>
                <w:i/>
                <w:sz w:val="20"/>
              </w:rPr>
            </w:pPr>
          </w:p>
          <w:p w:rsidR="00D306BA" w:rsidRPr="00643690" w:rsidRDefault="00D306BA" w:rsidP="00D306BA">
            <w:pPr>
              <w:rPr>
                <w:b/>
                <w:sz w:val="20"/>
              </w:rPr>
            </w:pPr>
            <w:r w:rsidRPr="00133594">
              <w:rPr>
                <w:b/>
                <w:i/>
                <w:sz w:val="20"/>
              </w:rPr>
              <w:t>Title:</w:t>
            </w:r>
            <w:r>
              <w:rPr>
                <w:i/>
                <w:sz w:val="20"/>
              </w:rPr>
              <w:t xml:space="preserve">  </w:t>
            </w:r>
            <w:r w:rsidRPr="00643690">
              <w:rPr>
                <w:b/>
                <w:sz w:val="20"/>
              </w:rPr>
              <w:t>Task Force on Involuntary Examination of Minors</w:t>
            </w:r>
          </w:p>
          <w:p w:rsidR="00D306BA" w:rsidRPr="00B836EB" w:rsidRDefault="00D306BA" w:rsidP="00D306BA">
            <w:pPr>
              <w:rPr>
                <w:sz w:val="8"/>
                <w:szCs w:val="8"/>
              </w:rPr>
            </w:pPr>
          </w:p>
          <w:p w:rsidR="00D306BA" w:rsidRDefault="00D306BA" w:rsidP="00D306BA">
            <w:pPr>
              <w:rPr>
                <w:sz w:val="20"/>
              </w:rPr>
            </w:pPr>
            <w:r w:rsidRPr="00133594">
              <w:rPr>
                <w:b/>
                <w:i/>
                <w:sz w:val="20"/>
              </w:rPr>
              <w:t>Goal/Description:</w:t>
            </w:r>
            <w:r>
              <w:rPr>
                <w:sz w:val="20"/>
              </w:rPr>
              <w:t xml:space="preserve">   The Florida legislature passed HB 1121 during the 2017 legislative session that created a task force within the Department of Children and Families (DCF) to address the issue of involuntary examinations under s. 394.463, F.S., of children age 17 years and younger.  Legislative requirements for this task force are summarized below:</w:t>
            </w:r>
          </w:p>
          <w:p w:rsidR="00D306BA" w:rsidRPr="00944B02" w:rsidRDefault="00D306BA" w:rsidP="00D306BA">
            <w:pPr>
              <w:rPr>
                <w:sz w:val="8"/>
                <w:szCs w:val="8"/>
              </w:rPr>
            </w:pPr>
          </w:p>
          <w:p w:rsidR="00D306BA" w:rsidRDefault="00D306BA" w:rsidP="00D306BA">
            <w:pPr>
              <w:pStyle w:val="ListParagraph"/>
              <w:numPr>
                <w:ilvl w:val="0"/>
                <w:numId w:val="1"/>
              </w:numPr>
              <w:ind w:left="525"/>
              <w:rPr>
                <w:sz w:val="20"/>
              </w:rPr>
            </w:pPr>
            <w:r>
              <w:rPr>
                <w:sz w:val="20"/>
              </w:rPr>
              <w:t xml:space="preserve">The task force shall, at a minimum, analyze data on the initiation of involuntary examinations of children, research the root causes of any trends in such involuntary examinations, identify and evaluate options for expediting examinations for children, and </w:t>
            </w:r>
            <w:r>
              <w:rPr>
                <w:sz w:val="20"/>
              </w:rPr>
              <w:lastRenderedPageBreak/>
              <w:t xml:space="preserve">identify recommendations for encouraging alternatives to and eliminating inappropriate initiations of such examinations; and </w:t>
            </w:r>
          </w:p>
          <w:p w:rsidR="00D306BA" w:rsidRPr="00B836EB" w:rsidRDefault="00D306BA" w:rsidP="00D306BA">
            <w:pPr>
              <w:pStyle w:val="ListParagraph"/>
              <w:numPr>
                <w:ilvl w:val="0"/>
                <w:numId w:val="1"/>
              </w:numPr>
              <w:ind w:left="525"/>
              <w:rPr>
                <w:sz w:val="20"/>
              </w:rPr>
            </w:pPr>
            <w:r>
              <w:rPr>
                <w:sz w:val="20"/>
              </w:rPr>
              <w:t>The task force shall submit a report of its findings to the Governor, the President of the Senate, and the Speaker of the House of Representatives on or before November 15, 2017.</w:t>
            </w:r>
          </w:p>
          <w:p w:rsidR="00D306BA" w:rsidRDefault="00D306BA" w:rsidP="00D306BA">
            <w:pPr>
              <w:rPr>
                <w:b/>
                <w:i/>
                <w:sz w:val="20"/>
              </w:rPr>
            </w:pPr>
          </w:p>
          <w:p w:rsidR="00D306BA" w:rsidRDefault="00D306BA" w:rsidP="00D306BA">
            <w:pPr>
              <w:rPr>
                <w:sz w:val="20"/>
              </w:rPr>
            </w:pPr>
            <w:r w:rsidRPr="00133594">
              <w:rPr>
                <w:b/>
                <w:i/>
                <w:sz w:val="20"/>
              </w:rPr>
              <w:t>Agencies Involved:</w:t>
            </w:r>
            <w:r>
              <w:rPr>
                <w:sz w:val="20"/>
              </w:rPr>
              <w:t xml:space="preserve"> Courts, law enforcement, public/private receiving facilities, and parents.</w:t>
            </w:r>
          </w:p>
          <w:p w:rsidR="00D306BA" w:rsidRDefault="00D306BA" w:rsidP="00D306BA">
            <w:pPr>
              <w:rPr>
                <w:sz w:val="20"/>
              </w:rPr>
            </w:pPr>
          </w:p>
          <w:p w:rsidR="00D306BA" w:rsidRDefault="00D306BA" w:rsidP="00D306BA">
            <w:pPr>
              <w:rPr>
                <w:sz w:val="20"/>
              </w:rPr>
            </w:pPr>
            <w:r w:rsidRPr="00133594">
              <w:rPr>
                <w:b/>
                <w:i/>
                <w:sz w:val="20"/>
              </w:rPr>
              <w:t>Title</w:t>
            </w:r>
            <w:r w:rsidRPr="00643690">
              <w:rPr>
                <w:b/>
                <w:i/>
                <w:sz w:val="20"/>
              </w:rPr>
              <w:t xml:space="preserve">:  </w:t>
            </w:r>
            <w:r w:rsidRPr="00643690">
              <w:rPr>
                <w:b/>
                <w:sz w:val="20"/>
              </w:rPr>
              <w:t>Child Welfare -  Substance Abuse and Mental Health Integration</w:t>
            </w:r>
          </w:p>
          <w:p w:rsidR="00D306BA" w:rsidRPr="004B17A5" w:rsidRDefault="00D306BA" w:rsidP="00D306BA">
            <w:pPr>
              <w:rPr>
                <w:sz w:val="8"/>
                <w:szCs w:val="8"/>
              </w:rPr>
            </w:pPr>
          </w:p>
          <w:p w:rsidR="00D306BA" w:rsidRDefault="00D306BA" w:rsidP="00D306BA">
            <w:pPr>
              <w:rPr>
                <w:sz w:val="20"/>
              </w:rPr>
            </w:pPr>
            <w:r w:rsidRPr="00133594">
              <w:rPr>
                <w:b/>
                <w:i/>
                <w:sz w:val="20"/>
              </w:rPr>
              <w:t>Goal/Description:</w:t>
            </w:r>
            <w:r>
              <w:rPr>
                <w:sz w:val="20"/>
              </w:rPr>
              <w:t xml:space="preserve">  </w:t>
            </w:r>
            <w:r w:rsidRPr="004B17A5">
              <w:rPr>
                <w:sz w:val="20"/>
              </w:rPr>
              <w:t>Improve</w:t>
            </w:r>
            <w:r>
              <w:rPr>
                <w:sz w:val="20"/>
              </w:rPr>
              <w:t xml:space="preserve"> access to appropriate treatment for families involved in child welfare/child protection.</w:t>
            </w:r>
          </w:p>
          <w:p w:rsidR="00D306BA" w:rsidRPr="004B17A5" w:rsidRDefault="00D306BA" w:rsidP="00D306BA">
            <w:pPr>
              <w:rPr>
                <w:sz w:val="8"/>
                <w:szCs w:val="8"/>
              </w:rPr>
            </w:pPr>
          </w:p>
          <w:p w:rsidR="00D306BA" w:rsidRPr="003B1A37" w:rsidRDefault="00D306BA" w:rsidP="00D306BA">
            <w:pPr>
              <w:rPr>
                <w:sz w:val="20"/>
              </w:rPr>
            </w:pPr>
            <w:r w:rsidRPr="00133594">
              <w:rPr>
                <w:b/>
                <w:i/>
                <w:sz w:val="20"/>
              </w:rPr>
              <w:t>Agencies Involved:</w:t>
            </w:r>
            <w:r>
              <w:rPr>
                <w:sz w:val="20"/>
              </w:rPr>
              <w:t xml:space="preserve"> Building expertise among providers in child welfare and behavioral health services in best and evidence-based practices.</w:t>
            </w:r>
          </w:p>
          <w:p w:rsidR="00575BED" w:rsidRPr="00126CFD" w:rsidRDefault="00575BED" w:rsidP="00575BED">
            <w:pPr>
              <w:rPr>
                <w:b/>
                <w:sz w:val="20"/>
              </w:rPr>
            </w:pPr>
          </w:p>
        </w:tc>
      </w:tr>
      <w:tr w:rsidR="00575BED" w:rsidTr="00133594">
        <w:trPr>
          <w:trHeight w:val="1250"/>
        </w:trPr>
        <w:tc>
          <w:tcPr>
            <w:tcW w:w="3597" w:type="dxa"/>
            <w:vAlign w:val="center"/>
          </w:tcPr>
          <w:p w:rsidR="00575BED" w:rsidRDefault="00575BED" w:rsidP="00575BED">
            <w:pPr>
              <w:jc w:val="center"/>
              <w:rPr>
                <w:b/>
              </w:rPr>
            </w:pPr>
            <w:r w:rsidRPr="00FA7E6F">
              <w:rPr>
                <w:b/>
              </w:rPr>
              <w:lastRenderedPageBreak/>
              <w:t xml:space="preserve">2018 Legislative </w:t>
            </w:r>
            <w:r>
              <w:rPr>
                <w:b/>
              </w:rPr>
              <w:t xml:space="preserve">Bills &amp; </w:t>
            </w:r>
            <w:r w:rsidRPr="00FA7E6F">
              <w:rPr>
                <w:b/>
              </w:rPr>
              <w:t>Budget Requests</w:t>
            </w:r>
          </w:p>
        </w:tc>
        <w:tc>
          <w:tcPr>
            <w:tcW w:w="3597" w:type="dxa"/>
            <w:shd w:val="clear" w:color="auto" w:fill="F2F2F2" w:themeFill="background1" w:themeFillShade="F2"/>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575BED" w:rsidRPr="003B1A37" w:rsidRDefault="00575BED" w:rsidP="00575BED">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5BED" w:rsidRPr="003B1A37" w:rsidRDefault="00575BED" w:rsidP="00575BED">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5BED" w:rsidRPr="00126CFD" w:rsidRDefault="00575BED" w:rsidP="00575BED">
            <w:pPr>
              <w:rPr>
                <w:b/>
                <w:sz w:val="20"/>
              </w:rPr>
            </w:pPr>
          </w:p>
        </w:tc>
        <w:tc>
          <w:tcPr>
            <w:tcW w:w="3598" w:type="dxa"/>
            <w:shd w:val="clear" w:color="auto" w:fill="auto"/>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575BED" w:rsidRPr="003B1A37" w:rsidRDefault="00575BED" w:rsidP="00575BED">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5BED" w:rsidRPr="003B1A37" w:rsidRDefault="00575BED" w:rsidP="00575BED">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5BED" w:rsidRPr="00126CFD" w:rsidRDefault="00575BED" w:rsidP="00575BED">
            <w:pPr>
              <w:rPr>
                <w:b/>
                <w:sz w:val="20"/>
              </w:rPr>
            </w:pPr>
          </w:p>
        </w:tc>
        <w:tc>
          <w:tcPr>
            <w:tcW w:w="3598" w:type="dxa"/>
            <w:shd w:val="clear" w:color="auto" w:fill="F2F2F2" w:themeFill="background1" w:themeFillShade="F2"/>
          </w:tcPr>
          <w:p w:rsidR="00575BED" w:rsidRDefault="00575BED" w:rsidP="00575BED">
            <w:pPr>
              <w:rPr>
                <w:b/>
                <w:i/>
                <w:sz w:val="20"/>
              </w:rPr>
            </w:pPr>
          </w:p>
          <w:p w:rsidR="00575BED" w:rsidRPr="003B1A37" w:rsidRDefault="00575BED" w:rsidP="00575BED">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575BED" w:rsidRPr="003B1A37" w:rsidRDefault="00575BED" w:rsidP="00575BED">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5BED" w:rsidRPr="003B1A37" w:rsidRDefault="00575BED" w:rsidP="00575BED">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5BED" w:rsidRPr="00126CFD" w:rsidRDefault="00575BED" w:rsidP="00575BED">
            <w:pPr>
              <w:rPr>
                <w:b/>
                <w:sz w:val="20"/>
              </w:rPr>
            </w:pPr>
          </w:p>
        </w:tc>
      </w:tr>
    </w:tbl>
    <w:p w:rsidR="003B1A37" w:rsidRDefault="003B1A37" w:rsidP="003B1A37"/>
    <w:sectPr w:rsidR="003B1A37" w:rsidSect="00126CFD">
      <w:headerReference w:type="default" r:id="rId7"/>
      <w:footerReference w:type="default" r:id="rId8"/>
      <w:pgSz w:w="15840" w:h="12240" w:orient="landscape"/>
      <w:pgMar w:top="1152" w:right="720" w:bottom="115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77" w:rsidRDefault="003A5C77" w:rsidP="003713B2">
      <w:pPr>
        <w:spacing w:after="0" w:line="240" w:lineRule="auto"/>
      </w:pPr>
      <w:r>
        <w:separator/>
      </w:r>
    </w:p>
  </w:endnote>
  <w:endnote w:type="continuationSeparator" w:id="0">
    <w:p w:rsidR="003A5C77" w:rsidRDefault="003A5C77" w:rsidP="003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24971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B1A37" w:rsidRPr="003B1A37" w:rsidRDefault="003B1A37">
            <w:pPr>
              <w:pStyle w:val="Footer"/>
              <w:jc w:val="right"/>
              <w:rPr>
                <w:sz w:val="20"/>
                <w:szCs w:val="20"/>
              </w:rPr>
            </w:pPr>
            <w:r w:rsidRPr="003B1A37">
              <w:rPr>
                <w:sz w:val="20"/>
                <w:szCs w:val="20"/>
              </w:rPr>
              <w:t xml:space="preserve">Page </w:t>
            </w:r>
            <w:r w:rsidRPr="003B1A37">
              <w:rPr>
                <w:b/>
                <w:bCs/>
                <w:sz w:val="20"/>
                <w:szCs w:val="20"/>
              </w:rPr>
              <w:fldChar w:fldCharType="begin"/>
            </w:r>
            <w:r w:rsidRPr="003B1A37">
              <w:rPr>
                <w:b/>
                <w:bCs/>
                <w:sz w:val="20"/>
                <w:szCs w:val="20"/>
              </w:rPr>
              <w:instrText xml:space="preserve"> PAGE </w:instrText>
            </w:r>
            <w:r w:rsidRPr="003B1A37">
              <w:rPr>
                <w:b/>
                <w:bCs/>
                <w:sz w:val="20"/>
                <w:szCs w:val="20"/>
              </w:rPr>
              <w:fldChar w:fldCharType="separate"/>
            </w:r>
            <w:r w:rsidR="00E66416">
              <w:rPr>
                <w:b/>
                <w:bCs/>
                <w:noProof/>
                <w:sz w:val="20"/>
                <w:szCs w:val="20"/>
              </w:rPr>
              <w:t>1</w:t>
            </w:r>
            <w:r w:rsidRPr="003B1A37">
              <w:rPr>
                <w:b/>
                <w:bCs/>
                <w:sz w:val="20"/>
                <w:szCs w:val="20"/>
              </w:rPr>
              <w:fldChar w:fldCharType="end"/>
            </w:r>
            <w:r w:rsidRPr="003B1A37">
              <w:rPr>
                <w:sz w:val="20"/>
                <w:szCs w:val="20"/>
              </w:rPr>
              <w:t xml:space="preserve"> of </w:t>
            </w:r>
            <w:r w:rsidRPr="003B1A37">
              <w:rPr>
                <w:b/>
                <w:bCs/>
                <w:sz w:val="20"/>
                <w:szCs w:val="20"/>
              </w:rPr>
              <w:fldChar w:fldCharType="begin"/>
            </w:r>
            <w:r w:rsidRPr="003B1A37">
              <w:rPr>
                <w:b/>
                <w:bCs/>
                <w:sz w:val="20"/>
                <w:szCs w:val="20"/>
              </w:rPr>
              <w:instrText xml:space="preserve"> NUMPAGES  </w:instrText>
            </w:r>
            <w:r w:rsidRPr="003B1A37">
              <w:rPr>
                <w:b/>
                <w:bCs/>
                <w:sz w:val="20"/>
                <w:szCs w:val="20"/>
              </w:rPr>
              <w:fldChar w:fldCharType="separate"/>
            </w:r>
            <w:r w:rsidR="00E66416">
              <w:rPr>
                <w:b/>
                <w:bCs/>
                <w:noProof/>
                <w:sz w:val="20"/>
                <w:szCs w:val="20"/>
              </w:rPr>
              <w:t>5</w:t>
            </w:r>
            <w:r w:rsidRPr="003B1A37">
              <w:rPr>
                <w:b/>
                <w:bCs/>
                <w:sz w:val="20"/>
                <w:szCs w:val="20"/>
              </w:rPr>
              <w:fldChar w:fldCharType="end"/>
            </w:r>
          </w:p>
        </w:sdtContent>
      </w:sdt>
    </w:sdtContent>
  </w:sdt>
  <w:p w:rsidR="003B1A37" w:rsidRDefault="003B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77" w:rsidRDefault="003A5C77" w:rsidP="003713B2">
      <w:pPr>
        <w:spacing w:after="0" w:line="240" w:lineRule="auto"/>
      </w:pPr>
      <w:r>
        <w:separator/>
      </w:r>
    </w:p>
  </w:footnote>
  <w:footnote w:type="continuationSeparator" w:id="0">
    <w:p w:rsidR="003A5C77" w:rsidRDefault="003A5C77" w:rsidP="0037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37" w:rsidRDefault="003B1A37" w:rsidP="003B1A37">
    <w:pPr>
      <w:pStyle w:val="Header"/>
      <w:jc w:val="right"/>
      <w:rPr>
        <w:b/>
        <w:i/>
        <w:u w:val="single"/>
      </w:rPr>
    </w:pPr>
    <w:r w:rsidRPr="00A0300F">
      <w:rPr>
        <w:b/>
        <w:noProof/>
        <w:u w:val="single"/>
      </w:rPr>
      <w:drawing>
        <wp:anchor distT="0" distB="0" distL="114300" distR="114300" simplePos="0" relativeHeight="251659264" behindDoc="1" locked="0" layoutInCell="1" allowOverlap="1" wp14:anchorId="531C30CF" wp14:editId="7B8966F0">
          <wp:simplePos x="0" y="0"/>
          <wp:positionH relativeFrom="column">
            <wp:posOffset>1905</wp:posOffset>
          </wp:positionH>
          <wp:positionV relativeFrom="paragraph">
            <wp:posOffset>-140335</wp:posOffset>
          </wp:positionV>
          <wp:extent cx="639445" cy="871220"/>
          <wp:effectExtent l="0" t="0" r="825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mp; You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45" cy="871220"/>
                  </a:xfrm>
                  <a:prstGeom prst="rect">
                    <a:avLst/>
                  </a:prstGeom>
                </pic:spPr>
              </pic:pic>
            </a:graphicData>
          </a:graphic>
          <wp14:sizeRelH relativeFrom="page">
            <wp14:pctWidth>0</wp14:pctWidth>
          </wp14:sizeRelH>
          <wp14:sizeRelV relativeFrom="page">
            <wp14:pctHeight>0</wp14:pctHeight>
          </wp14:sizeRelV>
        </wp:anchor>
      </w:drawing>
    </w:r>
    <w:r w:rsidRPr="00A0300F">
      <w:rPr>
        <w:b/>
        <w:i/>
        <w:u w:val="single"/>
      </w:rPr>
      <w:t>Policy Impact Committee</w:t>
    </w:r>
  </w:p>
  <w:p w:rsidR="003B1A37" w:rsidRDefault="007B370E" w:rsidP="003B1A37">
    <w:pPr>
      <w:pStyle w:val="Header"/>
      <w:jc w:val="right"/>
    </w:pPr>
    <w:r>
      <w:t>Agency Coordination</w:t>
    </w:r>
    <w:r w:rsidR="003B1A37">
      <w:t xml:space="preserve"> </w:t>
    </w:r>
  </w:p>
  <w:p w:rsidR="003B1A37" w:rsidRPr="00A0300F" w:rsidRDefault="003B1A37" w:rsidP="003B1A37">
    <w:pPr>
      <w:pStyle w:val="Header"/>
      <w:jc w:val="right"/>
    </w:pPr>
    <w:r>
      <w:t>2017-18 Cabinet Priorities</w:t>
    </w:r>
  </w:p>
  <w:p w:rsidR="003B1A37" w:rsidRDefault="003B1A37" w:rsidP="003B1A37">
    <w:pPr>
      <w:pStyle w:val="Header"/>
      <w:jc w:val="center"/>
    </w:pPr>
  </w:p>
  <w:p w:rsidR="00126CFD" w:rsidRPr="00126CFD" w:rsidRDefault="00126CFD" w:rsidP="00126CFD">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5592"/>
    <w:multiLevelType w:val="hybridMultilevel"/>
    <w:tmpl w:val="FCDAEDB4"/>
    <w:lvl w:ilvl="0" w:tplc="B9707FA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67"/>
    <w:rsid w:val="000837B7"/>
    <w:rsid w:val="000D1C9D"/>
    <w:rsid w:val="00126CFD"/>
    <w:rsid w:val="00133594"/>
    <w:rsid w:val="001E102E"/>
    <w:rsid w:val="001E50C0"/>
    <w:rsid w:val="002D753E"/>
    <w:rsid w:val="003713B2"/>
    <w:rsid w:val="003A5C77"/>
    <w:rsid w:val="003B1A37"/>
    <w:rsid w:val="0042484E"/>
    <w:rsid w:val="00511167"/>
    <w:rsid w:val="00575BED"/>
    <w:rsid w:val="005B0170"/>
    <w:rsid w:val="005E0791"/>
    <w:rsid w:val="006450D7"/>
    <w:rsid w:val="006B4E51"/>
    <w:rsid w:val="00742DB3"/>
    <w:rsid w:val="007B370E"/>
    <w:rsid w:val="009258F2"/>
    <w:rsid w:val="00937E47"/>
    <w:rsid w:val="009B36EB"/>
    <w:rsid w:val="009C6BCD"/>
    <w:rsid w:val="009F1961"/>
    <w:rsid w:val="00A0300F"/>
    <w:rsid w:val="00A4573B"/>
    <w:rsid w:val="00D306BA"/>
    <w:rsid w:val="00E66416"/>
    <w:rsid w:val="00F213EF"/>
    <w:rsid w:val="00F62C3F"/>
    <w:rsid w:val="00FA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190C65-6BF0-499B-A796-6551719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B2"/>
  </w:style>
  <w:style w:type="paragraph" w:styleId="Footer">
    <w:name w:val="footer"/>
    <w:basedOn w:val="Normal"/>
    <w:link w:val="FooterChar"/>
    <w:uiPriority w:val="99"/>
    <w:unhideWhenUsed/>
    <w:rsid w:val="0037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B2"/>
  </w:style>
  <w:style w:type="paragraph" w:styleId="ListParagraph">
    <w:name w:val="List Paragraph"/>
    <w:basedOn w:val="Normal"/>
    <w:uiPriority w:val="34"/>
    <w:qFormat/>
    <w:rsid w:val="00D3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Neidert;Zackary Gibson</dc:creator>
  <cp:keywords/>
  <dc:description/>
  <cp:lastModifiedBy>Crews, Laney</cp:lastModifiedBy>
  <cp:revision>2</cp:revision>
  <dcterms:created xsi:type="dcterms:W3CDTF">2017-10-31T14:23:00Z</dcterms:created>
  <dcterms:modified xsi:type="dcterms:W3CDTF">2017-10-31T14:23:00Z</dcterms:modified>
</cp:coreProperties>
</file>